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973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973695"/>
                    </a:xfrm>
                    <a:prstGeom prst="rect">
                      <a:avLst/>
                    </a:prstGeom>
                    <a:noFill/>
                  </pic:spPr>
                </pic:pic>
              </a:graphicData>
            </a:graphic>
          </wp:anchor>
        </w:drawing>
      </w:r>
    </w:p>
    <w:p>
      <w:pPr>
        <w:spacing w:after="0" w:line="1192" w:lineRule="exact"/>
        <w:rPr>
          <w:sz w:val="24"/>
          <w:szCs w:val="24"/>
          <w:color w:val="auto"/>
        </w:rPr>
      </w:pPr>
    </w:p>
    <w:p>
      <w:pPr>
        <w:sectPr>
          <w:pgSz w:w="11900" w:h="16851"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KERBER ERIN J</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CREDIT ACCEPTANCE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00" w:type="dxa"/>
            <w:vAlign w:val="bottom"/>
            <w:gridSpan w:val="4"/>
            <w:vMerge w:val="restart"/>
          </w:tcPr>
          <w:p>
            <w:pPr>
              <w:ind w:left="160"/>
              <w:spacing w:after="0" w:line="174" w:lineRule="exact"/>
              <w:rPr>
                <w:sz w:val="20"/>
                <w:szCs w:val="20"/>
                <w:color w:val="auto"/>
              </w:rPr>
            </w:pPr>
            <w:r>
              <w:rPr>
                <w:rFonts w:ascii="Times New Roman" w:cs="Times New Roman" w:eastAsia="Times New Roman" w:hAnsi="Times New Roman"/>
                <w:sz w:val="17"/>
                <w:szCs w:val="17"/>
                <w:color w:val="0000FF"/>
              </w:rPr>
              <w:t>06/26/2026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25505 WEST TWELVE MILE ROAD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91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16" w:lineRule="exact"/>
        <w:rPr>
          <w:sz w:val="20"/>
          <w:szCs w:val="20"/>
          <w:color w:val="auto"/>
        </w:rPr>
      </w:pPr>
    </w:p>
    <w:p>
      <w:pPr>
        <w:sectPr>
          <w:pgSz w:w="11900" w:h="16851" w:orient="portrait"/>
          <w:cols w:equalWidth="0" w:num="2">
            <w:col w:w="7680" w:space="63"/>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SOUTHFIELD  MI</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48034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jc w:val="right"/>
              <w:ind w:right="135"/>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jc w:val="center"/>
              <w:ind w:left="52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46"/>
              <w:spacing w:after="0"/>
              <w:rPr>
                <w:sz w:val="20"/>
                <w:szCs w:val="20"/>
                <w:color w:val="auto"/>
              </w:rPr>
            </w:pPr>
            <w:r>
              <w:rPr>
                <w:rFonts w:ascii="Times New Roman" w:cs="Times New Roman" w:eastAsia="Times New Roman" w:hAnsi="Times New Roman"/>
                <w:sz w:val="17"/>
                <w:szCs w:val="17"/>
                <w:color w:val="0000FF"/>
                <w:w w:val="99"/>
              </w:rPr>
              <w:t>2,417</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333.94</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28,127.7</w:t>
            </w:r>
          </w:p>
        </w:tc>
        <w:tc>
          <w:tcPr>
            <w:tcW w:w="280" w:type="dxa"/>
            <w:vAlign w:val="bottom"/>
          </w:tcPr>
          <w:p>
            <w:pPr>
              <w:spacing w:after="0"/>
              <w:rPr>
                <w:sz w:val="22"/>
                <w:szCs w:val="22"/>
                <w:color w:val="auto"/>
              </w:rPr>
            </w:pPr>
          </w:p>
        </w:tc>
        <w:tc>
          <w:tcPr>
            <w:tcW w:w="68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5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46"/>
              <w:spacing w:after="0"/>
              <w:rPr>
                <w:sz w:val="20"/>
                <w:szCs w:val="20"/>
                <w:color w:val="auto"/>
              </w:rPr>
            </w:pPr>
            <w:r>
              <w:rPr>
                <w:rFonts w:ascii="Times New Roman" w:cs="Times New Roman" w:eastAsia="Times New Roman" w:hAnsi="Times New Roman"/>
                <w:sz w:val="17"/>
                <w:szCs w:val="17"/>
                <w:color w:val="0000FF"/>
                <w:w w:val="99"/>
              </w:rPr>
              <w:t>3,303</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454.11</w:t>
            </w: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31,430.7</w:t>
            </w:r>
          </w:p>
        </w:tc>
        <w:tc>
          <w:tcPr>
            <w:tcW w:w="280" w:type="dxa"/>
            <w:vAlign w:val="bottom"/>
          </w:tcPr>
          <w:p>
            <w:pPr>
              <w:spacing w:after="0"/>
              <w:rPr>
                <w:sz w:val="22"/>
                <w:szCs w:val="22"/>
                <w:color w:val="auto"/>
              </w:rPr>
            </w:pPr>
          </w:p>
        </w:tc>
        <w:tc>
          <w:tcPr>
            <w:tcW w:w="680" w:type="dxa"/>
            <w:vAlign w:val="bottom"/>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397</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625.37</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31,033.7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581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627.12</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30,452.7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785</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627.71</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29,667.7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w w:val="99"/>
              </w:rPr>
              <w:t>1,269</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628.93</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28,398.7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305</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629.83</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28,093.7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w w:val="99"/>
              </w:rPr>
              <w:t>1,000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631.49</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27,093.7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w w:val="99"/>
              </w:rPr>
              <w:t>1,143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632.63</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25,950.7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6"/>
              <w:spacing w:after="0"/>
              <w:rPr>
                <w:sz w:val="20"/>
                <w:szCs w:val="20"/>
                <w:color w:val="auto"/>
              </w:rPr>
            </w:pPr>
            <w:r>
              <w:rPr>
                <w:rFonts w:ascii="Times New Roman" w:cs="Times New Roman" w:eastAsia="Times New Roman" w:hAnsi="Times New Roman"/>
                <w:sz w:val="17"/>
                <w:szCs w:val="17"/>
                <w:color w:val="0000FF"/>
                <w:w w:val="98"/>
              </w:rPr>
              <w:t>06/26/2026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46"/>
              <w:spacing w:after="0"/>
              <w:rPr>
                <w:sz w:val="20"/>
                <w:szCs w:val="20"/>
                <w:color w:val="auto"/>
              </w:rPr>
            </w:pPr>
            <w:r>
              <w:rPr>
                <w:rFonts w:ascii="Times New Roman" w:cs="Times New Roman" w:eastAsia="Times New Roman" w:hAnsi="Times New Roman"/>
                <w:sz w:val="17"/>
                <w:szCs w:val="17"/>
                <w:color w:val="0000FF"/>
              </w:rPr>
              <w:t>240</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634.57</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25,710.7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243</w:t>
            </w:r>
          </w:p>
        </w:tc>
        <w:tc>
          <w:tcPr>
            <w:tcW w:w="280" w:type="dxa"/>
            <w:vAlign w:val="bottom"/>
          </w:tcPr>
          <w:p>
            <w:pPr>
              <w:spacing w:after="0"/>
              <w:rPr>
                <w:sz w:val="18"/>
                <w:szCs w:val="18"/>
                <w:color w:val="auto"/>
              </w:rPr>
            </w:pPr>
          </w:p>
        </w:tc>
        <w:tc>
          <w:tcPr>
            <w:tcW w:w="68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140" w:type="dxa"/>
            <w:vAlign w:val="bottom"/>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80" w:type="dxa"/>
            <w:vAlign w:val="bottom"/>
            <w:gridSpan w:val="10"/>
          </w:tcPr>
          <w:p>
            <w:pPr>
              <w:jc w:val="center"/>
              <w:ind w:left="446"/>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6"/>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2,417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333.94</w:t>
            </w:r>
          </w:p>
        </w:tc>
        <w:tc>
          <w:tcPr>
            <w:tcW w:w="98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115"/>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2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2,417</w:t>
            </w:r>
          </w:p>
        </w:tc>
        <w:tc>
          <w:tcPr>
            <w:tcW w:w="7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12/30/2024</w:t>
            </w:r>
          </w:p>
        </w:tc>
        <w:tc>
          <w:tcPr>
            <w:tcW w:w="70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12/30/2026</w:t>
            </w: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3,303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ind w:left="1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454.11</w:t>
            </w:r>
          </w:p>
        </w:tc>
        <w:tc>
          <w:tcPr>
            <w:tcW w:w="980" w:type="dxa"/>
            <w:vAlign w:val="bottom"/>
          </w:tcPr>
          <w:p>
            <w:pPr>
              <w:jc w:val="right"/>
              <w:ind w:right="132"/>
              <w:spacing w:after="0" w:line="130" w:lineRule="exact"/>
              <w:rPr>
                <w:sz w:val="20"/>
                <w:szCs w:val="20"/>
                <w:color w:val="auto"/>
              </w:rPr>
            </w:pPr>
            <w:r>
              <w:rPr>
                <w:rFonts w:ascii="Times New Roman" w:cs="Times New Roman" w:eastAsia="Times New Roman" w:hAnsi="Times New Roman"/>
                <w:sz w:val="13"/>
                <w:szCs w:val="13"/>
                <w:color w:val="0000FF"/>
              </w:rPr>
              <w:t>06/26/2026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115"/>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2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3,303</w:t>
            </w:r>
          </w:p>
        </w:tc>
        <w:tc>
          <w:tcPr>
            <w:tcW w:w="7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06/28/2025</w:t>
            </w:r>
          </w:p>
        </w:tc>
        <w:tc>
          <w:tcPr>
            <w:tcW w:w="70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06/28/2027</w:t>
            </w: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0000FF"/>
              </w:rPr>
              <w:t>5,500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$625.00 to $625.94,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$626.43 to $627.23,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$627.46 to $628.26, inclusive.</w:t>
      </w:r>
    </w:p>
    <w:p>
      <w:pPr>
        <w:sectPr>
          <w:pgSz w:w="11900" w:h="16851"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$628.48 to $629.33, inclusive.</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$629.50 to $630.00, inclusive.</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$630.99 to $631.98, inclusive.</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$632.11 to $633.11, inclusive.</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$634.32 to $634.84, inclusive.</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the Credit Acceptance Stock Fund of the Credit Acceptance Corporation 401(k) Profit Sharing Plan and Trust as of June 24, 2026, according to the Plan trustee.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Erin J. Kerber</w:t>
            </w:r>
          </w:p>
        </w:tc>
        <w:tc>
          <w:tcPr>
            <w:tcW w:w="88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06/30/2026</w:t>
            </w:r>
          </w:p>
        </w:tc>
      </w:tr>
      <w:tr>
        <w:trPr>
          <w:trHeight w:val="20"/>
        </w:trPr>
        <w:tc>
          <w:tcPr>
            <w:tcW w:w="11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1883" TargetMode="External"/><Relationship Id="rId14"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2026-06-30T15:11:16Z</dcterms:created>
  <dcterms:modified xsi:type="dcterms:W3CDTF">2026-06-30T15:11:16Z</dcterms:modified>
</cp:coreProperties>
</file>